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jc w:val="center"/>
        <w:rPr>
          <w:rFonts w:hint="default" w:ascii="Times New Roman" w:hAnsi="Times New Roman" w:eastAsia="方正小标宋简体" w:cs="Times New Roman"/>
          <w:sz w:val="36"/>
          <w:szCs w:val="36"/>
        </w:rPr>
      </w:pPr>
      <w:bookmarkStart w:id="2" w:name="_GoBack"/>
      <w:r>
        <w:rPr>
          <w:rFonts w:hint="default" w:ascii="Times New Roman" w:hAnsi="Times New Roman" w:eastAsia="方正小标宋简体" w:cs="Times New Roman"/>
          <w:sz w:val="36"/>
          <w:szCs w:val="36"/>
        </w:rPr>
        <w:t>绿色供应链管理评价要求</w:t>
      </w:r>
    </w:p>
    <w:bookmarkEnd w:id="2"/>
    <w:p>
      <w:pPr>
        <w:rPr>
          <w:rFonts w:hint="default" w:ascii="Times New Roman" w:hAnsi="Times New Roman" w:cs="Times New Roman"/>
          <w:sz w:val="32"/>
          <w:szCs w:val="32"/>
        </w:rPr>
      </w:pP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（一）定义、目的及范围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绿色供应链是将环境保护和资源节约的理念贯穿于企业从产品设计到原材料采购、生产、运输、储存、销售、使用和报废处理的全过程，使企业的经济活动与环境保护相协调的上下游供应关系。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绿色供应链管理范围：按照产品生命周期要求，对设计、采购、生产、物流、回收等业务流程进行管理，其中涉及供应商、制造企业、物流商、销售商、最终用户以及回收、拆解等企业的协作。</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（二）基本要求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1、具有独立法人资格；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2、具有较强的行业影响力；</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3、具有较完善的能源资源、环境管理体系，各项管理制度健全，符合国家和地方的法律法规及标准规范要求，近三年无重大安全和环境污染事故；</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4、拥有数量众多的供应商，在供应商中有很强的影响力，与上下游供应商建立良好的合作关系；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5、有完善的供应商管理体系，建立健全的供应商认证、选择、审核、绩效管理和退出机制；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6、有健全的财务管理制度，销售盈利能力处于行业领先水平；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7、对实施绿色供应链管理有明确的工作目标、思路、计划和措施。</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二、企业绿色供应链管理关键环节</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（一）确立可持续的绿色供应链管理战略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（二）实施绿色供应商管理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w:t>
      </w:r>
      <w:r>
        <w:rPr>
          <w:rFonts w:hint="default"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rPr>
        <w:t>和包装材料用量、用更环保的材料替代，避免或减少环境污染。定期对供应商进行培训和技术支持，传递客户和其他利益相关者的环境要求，帮助供应商将要求融入业务之中并逐级传递。</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（三）强化绿色生产</w:t>
      </w:r>
    </w:p>
    <w:p>
      <w:pPr>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建立基于产品全生命周期的绿色设计理念，整合环境数据资源，建立基础过程和产品数据库，构建评价模型，在研发设计阶段开展全生命周期（LCA）评价。不断提升绿色技术创新能力，采用先进适用的工艺技术与设备，减少或者避免生产过程中污染物的产生和排放。积极参与国际相关技术规范标准的制定，促进业界绿色生产水平提升，引领行业变革。</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（四）建设绿色回收体系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（五）搭建绿色信息收集监测披露平台</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企业要建立能源消耗在线监测体系和</w:t>
      </w:r>
      <w:bookmarkStart w:id="0" w:name="OLE_LINK2"/>
      <w:bookmarkStart w:id="1" w:name="OLE_LINK1"/>
      <w:r>
        <w:rPr>
          <w:rFonts w:hint="default" w:ascii="Times New Roman" w:hAnsi="Times New Roman" w:eastAsia="仿宋_GB2312" w:cs="Times New Roman"/>
          <w:bCs/>
          <w:sz w:val="32"/>
          <w:szCs w:val="32"/>
        </w:rPr>
        <w:t>减排监测数据库</w:t>
      </w:r>
      <w:bookmarkEnd w:id="0"/>
      <w:bookmarkEnd w:id="1"/>
      <w:r>
        <w:rPr>
          <w:rFonts w:hint="default" w:ascii="Times New Roman" w:hAnsi="Times New Roman" w:eastAsia="仿宋_GB2312" w:cs="Times New Roman"/>
          <w:bCs/>
          <w:sz w:val="32"/>
          <w:szCs w:val="32"/>
        </w:rPr>
        <w:t>，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三、企业绿色供应链管理评价方法</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（一）评价方式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1、企业绿色供应链管理评价由第三方组织实施。</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2、第三方根据绿色供应链管理关键环节，按照评价标准对企业进行实地调查，查阅相关文件、报表、数据等，确保评价结果客观准确。</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（二）评价指标体系</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绿色供应链管理评价指标体系包括绿色供应链管理战略指标、绿色供应商管理指标、绿色生产指标、绿色回收指标、绿色信息平台建设指标、绿色信息披露指标6个方面。具体如表1所示。</w:t>
      </w:r>
    </w:p>
    <w:p>
      <w:pPr>
        <w:ind w:firstLine="640" w:firstLineChars="200"/>
        <w:jc w:val="center"/>
        <w:rPr>
          <w:rFonts w:hint="default" w:ascii="Times New Roman" w:hAnsi="Times New Roman" w:eastAsia="黑体" w:cs="Times New Roman"/>
          <w:sz w:val="28"/>
          <w:szCs w:val="28"/>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28"/>
          <w:szCs w:val="28"/>
        </w:rPr>
        <w:t>表1  企业绿色供应链管理评价指标体系</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一级指标</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36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二级指标</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最高分值</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绿色供应链管理</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战略X1</w:t>
            </w: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纳入公司发展规划X11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制定绿色供应链管理目标X12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设置专门管理机构X13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实施绿色供应商</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管理X2</w:t>
            </w: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绿色采购标准制度完善X21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供应商认证体系完善X22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对供应商定期审核X23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供应商绩效评估制度健全X24</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定期对供应商进行培训X25</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9</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低风险供应商占比X26</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绿色生产X3</w:t>
            </w: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节能减排环保合规X31</w:t>
            </w:r>
          </w:p>
        </w:tc>
        <w:tc>
          <w:tcPr>
            <w:tcW w:w="719" w:type="dxa"/>
            <w:vAlign w:val="center"/>
          </w:tcPr>
          <w:p>
            <w:pPr>
              <w:jc w:val="center"/>
              <w:rPr>
                <w:rFonts w:hint="default" w:ascii="Times New Roman" w:hAnsi="Times New Roman" w:eastAsia="仿宋_GB2312" w:cs="Times New Roman"/>
                <w:sz w:val="24"/>
              </w:rPr>
            </w:pP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180" w:type="dxa"/>
            <w:vMerge w:val="continue"/>
            <w:vAlign w:val="center"/>
          </w:tcPr>
          <w:p>
            <w:pP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11</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符合有害物质限制使用管理办法X32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绿色回收X4</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产品回收率X41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13</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包装回收率X42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14</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回收体系完善（含自建、与第三方联合回收）X43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15</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指导下游企业回收拆解X44</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p>
            <w:pPr>
              <w:jc w:val="center"/>
              <w:rPr>
                <w:rFonts w:hint="default" w:ascii="Times New Roman" w:hAnsi="Times New Roman" w:eastAsia="仿宋_GB2312" w:cs="Times New Roman"/>
                <w:sz w:val="24"/>
              </w:rPr>
            </w:pP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绿色信息平台建设X5</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16</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绿色供应链管理信息平台完善X51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Merge w:val="restart"/>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绿色信息披露X6</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17</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披露企业节能减排减碳信息X61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18</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披露高、中风险供应商审核率及低风险供应商占比X62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19</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披露供应商节能减排信息X63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发布企业社会责任报告（含绿色采购信息）X64</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bl>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（三）绿色供应链评价指数计算方法</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企业绿色供应链管理指数的计算公式如下。</w:t>
      </w:r>
      <w:r>
        <w:rPr>
          <w:rFonts w:hint="default" w:ascii="Times New Roman" w:hAnsi="Times New Roman" w:eastAsia="仿宋_GB2312" w:cs="Times New Roman"/>
          <w:position w:val="-10"/>
          <w:sz w:val="32"/>
          <w:szCs w:val="32"/>
        </w:rPr>
        <w:object>
          <v:shape id="_x0000_i1025" o:spt="75" type="#_x0000_t75" style="height:17pt;width:9pt;" o:ole="t" filled="f" o:preferrelative="t" stroked="f" coordsize="21600,21600">
            <v:path/>
            <v:fill on="f" alignshape="1" focussize="0,0"/>
            <v:stroke on="f"/>
            <v:imagedata r:id="rId8" o:title=""/>
            <o:lock v:ext="edit" aspectratio="t"/>
            <w10:wrap type="none"/>
            <w10:anchorlock/>
          </v:shape>
          <o:OLEObject Type="Embed" ProgID="Equation.3" ShapeID="_x0000_i1025" DrawAspect="Content" ObjectID="_1468075725" r:id="rId7">
            <o:LockedField>false</o:LockedField>
          </o:OLEObject>
        </w:object>
      </w:r>
    </w:p>
    <w:p>
      <w:pPr>
        <w:rPr>
          <w:rFonts w:hint="default" w:ascii="Times New Roman" w:hAnsi="Times New Roman" w:eastAsia="仿宋_GB2312" w:cs="Times New Roman"/>
          <w:sz w:val="32"/>
          <w:szCs w:val="32"/>
        </w:rPr>
      </w:pPr>
      <w:r>
        <w:rPr>
          <w:rFonts w:hint="default" w:ascii="Times New Roman" w:hAnsi="Times New Roman" w:eastAsia="仿宋_GB2312" w:cs="Times New Roman"/>
          <w:position w:val="-30"/>
          <w:sz w:val="32"/>
          <w:szCs w:val="32"/>
        </w:rPr>
        <w:object>
          <v:shape id="_x0000_i1026" o:spt="75" type="#_x0000_t75" style="height:44.35pt;width:410.2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default" w:ascii="Times New Roman" w:hAnsi="Times New Roman" w:eastAsia="仿宋_GB2312" w:cs="Times New Roman"/>
          <w:sz w:val="32"/>
          <w:szCs w:val="32"/>
        </w:rPr>
        <w:t>式中</w:t>
      </w:r>
      <w:r>
        <w:rPr>
          <w:rFonts w:hint="default" w:ascii="Times New Roman" w:hAnsi="Times New Roman" w:eastAsia="仿宋_GB2312" w:cs="Times New Roman"/>
          <w:sz w:val="32"/>
          <w:szCs w:val="32"/>
        </w:rPr>
        <w:pict>
          <v:shape id="_x0000_s1026" o:spid="_x0000_s1026" o:spt="75" type="#_x0000_t75" style="position:absolute;left:0pt;margin-top:0.3pt;height:17.25pt;width:9pt;mso-position-horizontal:left;mso-wrap-distance-bottom:0pt;mso-wrap-distance-left:9pt;mso-wrap-distance-right:9pt;mso-wrap-distance-top:0pt;z-index:251659264;mso-width-relative:page;mso-height-relative:page;" o:ole="t" filled="f" o:preferrelative="t" stroked="f" coordsize="21600,21600">
            <v:path/>
            <v:fill on="f" alignshape="1" focussize="0,0"/>
            <v:stroke on="f"/>
            <v:imagedata r:id="rId8" o:title=""/>
            <o:lock v:ext="edit" aspectratio="t"/>
            <w10:wrap type="square" side="right"/>
          </v:shape>
          <o:OLEObject Type="Embed" ProgID="" ShapeID="_x0000_s1026" DrawAspect="Content" ObjectID="_1468075727" r:id="rId11">
            <o:LockedField>false</o:LockedField>
          </o:OLEObject>
        </w:pict>
      </w:r>
      <w:r>
        <w:rPr>
          <w:rFonts w:hint="default" w:ascii="Times New Roman" w:hAnsi="Times New Roman" w:eastAsia="仿宋_GB2312" w:cs="Times New Roman"/>
          <w:sz w:val="32"/>
          <w:szCs w:val="32"/>
        </w:rPr>
        <w:t>GSCI为绿色供应链管理指数。</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（四）绿色供应链评价结果</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经评价绿色供应链管理指数大于80分（含等于）的企业，认定为“卓越绿色供应链管理企业”，优先享受国家各项支持政策。</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（五）部分指标说明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1、纳入公司发展规划：有明确的绿色供应链管理中长期发展规划、年度目标、指标、实施方案等文件。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2、供应商绩效评估制度：建立供应商绩效评估标准，对供应商进行分级评价和管理。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3、低风险供应商占比的基准值取80%。达到或超过80%得4分，其他分值的计算：比例值/80%*4。</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4、节能减排环保合规：符合国家和地方有关环境法律和法规，近五年无重大安全、环保、质量事故；配备能源、水源监测设备及污染物监测设备（计量仪器符合GB/T17167和GB</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24789）。</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5、产品回收率X41的基准值为90%，达到或超过90%得5分，其他分值的计算：比例值/90%*5。</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6、包装回收率X42的基准值为80%，达到或超过80%得5分，其他分值的计算：比例值/80%*5。</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7、指导下游企业回收拆解：具备回收拆解信息管理系统，实现拆解信息的传递及产品的追溯。</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8、绿色供应链管理信息平台完善：对企业及其供应商产品材质、工艺流程、能源资源消耗、污染物排放等信息进行有效收集与管理。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9、披露企业节能减排减碳信息：具体包括有毒有害物质使用、能源资源利用效率、污染物排放、碳排放减少量、产品回收利用率等信息。</w:t>
      </w:r>
    </w:p>
    <w:sectPr>
      <w:footerReference r:id="rId5" w:type="first"/>
      <w:footerReference r:id="rId3" w:type="default"/>
      <w:footerReference r:id="rId4" w:type="even"/>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07E448C"/>
    <w:rsid w:val="00030C6A"/>
    <w:rsid w:val="00037F0E"/>
    <w:rsid w:val="000D03A1"/>
    <w:rsid w:val="000F7280"/>
    <w:rsid w:val="00113261"/>
    <w:rsid w:val="00113518"/>
    <w:rsid w:val="00147D61"/>
    <w:rsid w:val="00147E3F"/>
    <w:rsid w:val="00153014"/>
    <w:rsid w:val="00163962"/>
    <w:rsid w:val="00176A04"/>
    <w:rsid w:val="00180D33"/>
    <w:rsid w:val="001A036E"/>
    <w:rsid w:val="001A60D3"/>
    <w:rsid w:val="001D0580"/>
    <w:rsid w:val="001D2842"/>
    <w:rsid w:val="00224029"/>
    <w:rsid w:val="002275ED"/>
    <w:rsid w:val="0027695B"/>
    <w:rsid w:val="002940F5"/>
    <w:rsid w:val="002B1EEF"/>
    <w:rsid w:val="002C3C76"/>
    <w:rsid w:val="002C4330"/>
    <w:rsid w:val="00300BEF"/>
    <w:rsid w:val="003078ED"/>
    <w:rsid w:val="00331079"/>
    <w:rsid w:val="00343D7E"/>
    <w:rsid w:val="00373B34"/>
    <w:rsid w:val="003C3F94"/>
    <w:rsid w:val="003C4844"/>
    <w:rsid w:val="003F491B"/>
    <w:rsid w:val="00421F34"/>
    <w:rsid w:val="00453807"/>
    <w:rsid w:val="0046355D"/>
    <w:rsid w:val="00466A49"/>
    <w:rsid w:val="0048283D"/>
    <w:rsid w:val="004D0CA2"/>
    <w:rsid w:val="004E5C03"/>
    <w:rsid w:val="0053294F"/>
    <w:rsid w:val="00541A62"/>
    <w:rsid w:val="00561875"/>
    <w:rsid w:val="0058680B"/>
    <w:rsid w:val="00592F25"/>
    <w:rsid w:val="005C2C09"/>
    <w:rsid w:val="005F0DC6"/>
    <w:rsid w:val="006029EA"/>
    <w:rsid w:val="00635547"/>
    <w:rsid w:val="006633D0"/>
    <w:rsid w:val="00682B2F"/>
    <w:rsid w:val="0068741C"/>
    <w:rsid w:val="006A7992"/>
    <w:rsid w:val="006D5FBE"/>
    <w:rsid w:val="006E71D1"/>
    <w:rsid w:val="00703A97"/>
    <w:rsid w:val="0072051F"/>
    <w:rsid w:val="007520EF"/>
    <w:rsid w:val="0078268F"/>
    <w:rsid w:val="0078759A"/>
    <w:rsid w:val="007C642A"/>
    <w:rsid w:val="007D5B1C"/>
    <w:rsid w:val="007E2727"/>
    <w:rsid w:val="007E3A83"/>
    <w:rsid w:val="007E448C"/>
    <w:rsid w:val="008201FD"/>
    <w:rsid w:val="008217F6"/>
    <w:rsid w:val="00822F06"/>
    <w:rsid w:val="00832E4A"/>
    <w:rsid w:val="008A63A8"/>
    <w:rsid w:val="008C2ADB"/>
    <w:rsid w:val="008D0956"/>
    <w:rsid w:val="0090565C"/>
    <w:rsid w:val="00954567"/>
    <w:rsid w:val="00954CCB"/>
    <w:rsid w:val="00956F36"/>
    <w:rsid w:val="0098726D"/>
    <w:rsid w:val="009A4C1E"/>
    <w:rsid w:val="009A6150"/>
    <w:rsid w:val="009B0056"/>
    <w:rsid w:val="009B35F2"/>
    <w:rsid w:val="009E7275"/>
    <w:rsid w:val="00A079D0"/>
    <w:rsid w:val="00A12D9C"/>
    <w:rsid w:val="00A331E4"/>
    <w:rsid w:val="00A77DAA"/>
    <w:rsid w:val="00A80A0D"/>
    <w:rsid w:val="00A96F11"/>
    <w:rsid w:val="00AA38E5"/>
    <w:rsid w:val="00B0381B"/>
    <w:rsid w:val="00B14A25"/>
    <w:rsid w:val="00B526D9"/>
    <w:rsid w:val="00B70F3E"/>
    <w:rsid w:val="00BE1CBD"/>
    <w:rsid w:val="00C12029"/>
    <w:rsid w:val="00C24B79"/>
    <w:rsid w:val="00C256D1"/>
    <w:rsid w:val="00C473E1"/>
    <w:rsid w:val="00C55F69"/>
    <w:rsid w:val="00C61EDB"/>
    <w:rsid w:val="00C67C1D"/>
    <w:rsid w:val="00C95194"/>
    <w:rsid w:val="00CA2CC8"/>
    <w:rsid w:val="00CC3AF0"/>
    <w:rsid w:val="00D01BE9"/>
    <w:rsid w:val="00D10A48"/>
    <w:rsid w:val="00D16E36"/>
    <w:rsid w:val="00D22581"/>
    <w:rsid w:val="00D25D7A"/>
    <w:rsid w:val="00D727C0"/>
    <w:rsid w:val="00D74F6E"/>
    <w:rsid w:val="00D92E40"/>
    <w:rsid w:val="00DA2D92"/>
    <w:rsid w:val="00DA49A3"/>
    <w:rsid w:val="00DD50FE"/>
    <w:rsid w:val="00E15039"/>
    <w:rsid w:val="00E50338"/>
    <w:rsid w:val="00E7447D"/>
    <w:rsid w:val="00EC4EE2"/>
    <w:rsid w:val="00EE65D7"/>
    <w:rsid w:val="00F011A7"/>
    <w:rsid w:val="00F07179"/>
    <w:rsid w:val="00F25236"/>
    <w:rsid w:val="00F6067A"/>
    <w:rsid w:val="00F95522"/>
    <w:rsid w:val="00FC0924"/>
    <w:rsid w:val="00FE0BF4"/>
    <w:rsid w:val="054A1660"/>
    <w:rsid w:val="06EB4441"/>
    <w:rsid w:val="08B30E10"/>
    <w:rsid w:val="08BA78C3"/>
    <w:rsid w:val="0BE55709"/>
    <w:rsid w:val="393E69AE"/>
    <w:rsid w:val="3CAC3D3C"/>
    <w:rsid w:val="47507EDF"/>
    <w:rsid w:val="5DE673C6"/>
    <w:rsid w:val="602227CA"/>
    <w:rsid w:val="6BC72F84"/>
    <w:rsid w:val="6DC07208"/>
    <w:rsid w:val="72820265"/>
    <w:rsid w:val="7B8B61CB"/>
    <w:rsid w:val="7BEFB4D9"/>
    <w:rsid w:val="7C287503"/>
    <w:rsid w:val="7DBD6E37"/>
    <w:rsid w:val="DFDB57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annotation subject"/>
    <w:basedOn w:val="2"/>
    <w:next w:val="2"/>
    <w:link w:val="12"/>
    <w:qFormat/>
    <w:uiPriority w:val="0"/>
    <w:rPr>
      <w:b/>
      <w:bCs/>
    </w:rPr>
  </w:style>
  <w:style w:type="character" w:styleId="9">
    <w:name w:val="page number"/>
    <w:basedOn w:val="8"/>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主题 Char"/>
    <w:link w:val="6"/>
    <w:qFormat/>
    <w:uiPriority w:val="0"/>
    <w:rPr>
      <w:b/>
      <w:bCs/>
      <w:kern w:val="2"/>
      <w:sz w:val="21"/>
      <w:szCs w:val="24"/>
    </w:rPr>
  </w:style>
  <w:style w:type="character" w:customStyle="1" w:styleId="13">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2744</Words>
  <Characters>2862</Characters>
  <Lines>22</Lines>
  <Paragraphs>6</Paragraphs>
  <TotalTime>2</TotalTime>
  <ScaleCrop>false</ScaleCrop>
  <LinksUpToDate>false</LinksUpToDate>
  <CharactersWithSpaces>2865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2016-06-18T09:43:00Z</dcterms:created>
  <dc:creator>wangxu</dc:creator>
  <cp:lastModifiedBy>C</cp:lastModifiedBy>
  <cp:lastPrinted>2023-06-29T14:22:00Z</cp:lastPrinted>
  <dcterms:modified xsi:type="dcterms:W3CDTF">2023-07-25T00:55:09Z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70E8C2596BFF4C188FDD8B83B22AE368_13</vt:lpwstr>
  </property>
</Properties>
</file>