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一、立法背景情况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省委省政府关于促进广东制造业高质量发展、实施制造业当家的工作部署，以地方性法规的形式，强化广东制造业的地位和作用，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确定推进制造业高质量发展的路径和重点，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统筹考虑制造业高质量发展所需的制度支撑和要素保障，全面提升广东制造业“当家体制”的优势。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二、主要内容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紧紧围绕省委、省政府《关于高质量建设制造强省的意见》，体现广东制造业发展特色，着力解决当前制造业发展的痛点难点问题，力求内容务实管用。《条例》（征求意见稿）共五章</w:t>
      </w:r>
      <w:r>
        <w:rPr>
          <w:rFonts w:hint="eastAsia" w:ascii="Times New Roman" w:hAnsi="Times New Roman" w:cs="Times New Roman"/>
          <w:lang w:val="en-US" w:eastAsia="zh-CN"/>
        </w:rPr>
        <w:t>42条。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第一章总则</w:t>
      </w:r>
      <w:r>
        <w:rPr>
          <w:rFonts w:hint="eastAsia" w:ascii="Times New Roman" w:hAnsi="Times New Roman" w:cs="Times New Roman"/>
          <w:lang w:val="en-US" w:eastAsia="zh-CN"/>
        </w:rPr>
        <w:t>，包括立法目的、发展原则、组织机制、智库支持机制、考核机制、容错机制等内容；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第二章产业发展与平台建设</w:t>
      </w:r>
      <w:r>
        <w:rPr>
          <w:rFonts w:hint="eastAsia" w:ascii="Times New Roman" w:hAnsi="Times New Roman" w:cs="Times New Roman"/>
          <w:lang w:val="en-US" w:eastAsia="zh-CN"/>
        </w:rPr>
        <w:t>，主要包括规划引领、产业集群、产业基础和核心技术、数字化转型、绿色化改造、生产性服务业、园区工作机制、工业园建设、创新平台建设、数据安全等内容；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第三章投资促进与企业发展</w:t>
      </w:r>
      <w:r>
        <w:rPr>
          <w:rFonts w:hint="eastAsia" w:ascii="Times New Roman" w:hAnsi="Times New Roman" w:cs="Times New Roman"/>
          <w:lang w:val="en-US" w:eastAsia="zh-CN"/>
        </w:rPr>
        <w:t>，主要包括投资促进、招商引资机制、招商引资措施、项目推进与保障机制、企业培育、国企发展、民企发展、企业创新、质量与标准提升、品牌提升、消费带动等内容；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第四章服务与保障</w:t>
      </w:r>
      <w:r>
        <w:rPr>
          <w:rFonts w:hint="eastAsia" w:ascii="Times New Roman" w:hAnsi="Times New Roman" w:cs="Times New Roman"/>
          <w:lang w:val="en-US" w:eastAsia="zh-CN"/>
        </w:rPr>
        <w:t>，主要包括要素资源配置、财政支持、投资支持、金融支持、用地规划保障、用地指标与审批、降低用地成本、降低制造业成本、技术创新支持、人才引进培育、技能人才培养、信息平台、投诉机制、工业文化宣传推广等内容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第五章</w:t>
      </w:r>
      <w:r>
        <w:rPr>
          <w:rFonts w:hint="eastAsia" w:ascii="Times New Roman" w:hAnsi="Times New Roman" w:cs="Times New Roman"/>
          <w:lang w:val="en-US" w:eastAsia="zh-CN"/>
        </w:rPr>
        <w:t>附则，生效条款。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BB7017"/>
    <w:rsid w:val="27417D56"/>
    <w:rsid w:val="30B61AB6"/>
    <w:rsid w:val="3EAB0813"/>
    <w:rsid w:val="502838B2"/>
    <w:rsid w:val="5EFF049D"/>
    <w:rsid w:val="63E6ED48"/>
    <w:rsid w:val="76BD8332"/>
    <w:rsid w:val="7B7FBB39"/>
    <w:rsid w:val="7BFB03A5"/>
    <w:rsid w:val="8DDC27C4"/>
    <w:rsid w:val="AB335A42"/>
    <w:rsid w:val="BDE31A0B"/>
    <w:rsid w:val="E3D57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模板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562</Characters>
  <Lines>0</Lines>
  <Paragraphs>0</Paragraphs>
  <TotalTime>5.33333333333333</TotalTime>
  <ScaleCrop>false</ScaleCrop>
  <LinksUpToDate>false</LinksUpToDate>
  <CharactersWithSpaces>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</cp:lastModifiedBy>
  <dcterms:modified xsi:type="dcterms:W3CDTF">2023-06-15T01:37:44Z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5C2510068CE248EFB99F862AE4A64CC0_13</vt:lpwstr>
  </property>
</Properties>
</file>