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30" w:lineRule="exact"/>
        <w:rPr>
          <w:rFonts w:hint="default" w:ascii="仿宋" w:hAnsi="仿宋" w:eastAsia="仿宋" w:cs="仿宋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附件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/>
        </w:rPr>
        <w:t>1</w:t>
      </w:r>
    </w:p>
    <w:p>
      <w:pPr>
        <w:spacing w:line="430" w:lineRule="exact"/>
        <w:jc w:val="center"/>
        <w:rPr>
          <w:rFonts w:ascii="黑体" w:hAnsi="黑体" w:eastAsia="黑体" w:cs="黑体"/>
          <w:b/>
          <w:bCs/>
          <w:sz w:val="28"/>
          <w:szCs w:val="28"/>
          <w:highlight w:val="none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</w:rPr>
        <w:t>“乡村振兴 爱心书屋”捐赠活动单位回馈细则</w:t>
      </w:r>
    </w:p>
    <w:bookmarkEnd w:id="0"/>
    <w:p>
      <w:pPr>
        <w:spacing w:line="430" w:lineRule="exact"/>
        <w:rPr>
          <w:rFonts w:ascii="方正仿宋_GBK" w:hAnsi="方正仿宋_GBK" w:eastAsia="方正仿宋_GBK" w:cs="方正仿宋_GBK"/>
          <w:b/>
          <w:bCs/>
          <w:sz w:val="32"/>
          <w:szCs w:val="32"/>
          <w:highlight w:val="none"/>
        </w:rPr>
      </w:pPr>
    </w:p>
    <w:p>
      <w:pPr>
        <w:spacing w:line="430" w:lineRule="exact"/>
        <w:ind w:firstLine="562" w:firstLineChars="200"/>
        <w:rPr>
          <w:rFonts w:ascii="黑体" w:hAnsi="黑体" w:eastAsia="黑体" w:cs="黑体"/>
          <w:b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</w:rPr>
        <w:t>一、捐赠2万元及以上</w:t>
      </w:r>
    </w:p>
    <w:p>
      <w:pPr>
        <w:spacing w:line="43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1.颁发捐赠证书</w:t>
      </w:r>
    </w:p>
    <w:p>
      <w:pPr>
        <w:spacing w:line="43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2.广东省青少年发展基金会网站公示</w:t>
      </w:r>
    </w:p>
    <w:p>
      <w:pPr>
        <w:spacing w:line="430" w:lineRule="exact"/>
        <w:ind w:firstLine="562" w:firstLineChars="200"/>
        <w:rPr>
          <w:rFonts w:ascii="黑体" w:hAnsi="黑体" w:eastAsia="黑体" w:cs="黑体"/>
          <w:b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</w:rPr>
        <w:t>二、捐赠5万元及以上</w:t>
      </w:r>
    </w:p>
    <w:p>
      <w:pPr>
        <w:spacing w:line="43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1.颁发捐赠证书和牌匾</w:t>
      </w:r>
    </w:p>
    <w:p>
      <w:pPr>
        <w:spacing w:line="43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2.在受赠学校挂牌“乡村振兴 爱心书屋”</w:t>
      </w:r>
    </w:p>
    <w:p>
      <w:pPr>
        <w:spacing w:line="43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3.广东省青少年发展基金会网站公示</w:t>
      </w:r>
    </w:p>
    <w:p>
      <w:pPr>
        <w:spacing w:line="430" w:lineRule="exact"/>
        <w:ind w:firstLine="562" w:firstLineChars="200"/>
        <w:rPr>
          <w:rFonts w:ascii="黑体" w:hAnsi="黑体" w:eastAsia="黑体" w:cs="黑体"/>
          <w:b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</w:rPr>
        <w:t>三、捐赠50万元及以上</w:t>
      </w:r>
    </w:p>
    <w:p>
      <w:pPr>
        <w:spacing w:line="43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1.颁发捐赠证书和牌匾</w:t>
      </w:r>
    </w:p>
    <w:p>
      <w:pPr>
        <w:spacing w:line="43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2.在受赠学校挂牌“乡村振兴 爱心书屋”</w:t>
      </w:r>
    </w:p>
    <w:p>
      <w:pPr>
        <w:spacing w:line="43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3.广东省青少年发展基金会网站公示</w:t>
      </w:r>
    </w:p>
    <w:p>
      <w:pPr>
        <w:spacing w:line="43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4.在受赠学校举办捐赠仪式，邀请当地领导出席并邀请媒体宣传报道</w:t>
      </w:r>
    </w:p>
    <w:p>
      <w:pPr>
        <w:spacing w:line="43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注：</w:t>
      </w:r>
    </w:p>
    <w:p>
      <w:pPr>
        <w:spacing w:line="43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1.所有捐赠款项均可开具广东省公益事业捐赠统一票据，可享受国家抵税政策。具体优惠政策请见附件。</w:t>
      </w:r>
    </w:p>
    <w:p>
      <w:pPr>
        <w:spacing w:line="43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2.如捐方需要举办捐赠仪式，征求受赠学校同意后可开展，捐赠仪式费用由捐方承担。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53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292</Characters>
  <Lines>0</Lines>
  <Paragraphs>0</Paragraphs>
  <TotalTime>0</TotalTime>
  <ScaleCrop>false</ScaleCrop>
  <LinksUpToDate>false</LinksUpToDate>
  <CharactersWithSpaces>295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伊曼Mandy</cp:lastModifiedBy>
  <dcterms:modified xsi:type="dcterms:W3CDTF">2022-03-24T03:37:27Z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CE91E808A64047D698D3CB734467CC52</vt:lpwstr>
  </property>
</Properties>
</file>