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15" w:rsidRDefault="00132F5D">
      <w:pPr>
        <w:jc w:val="center"/>
        <w:rPr>
          <w:b/>
          <w:sz w:val="32"/>
          <w:szCs w:val="32"/>
        </w:rPr>
      </w:pPr>
      <w:r>
        <w:rPr>
          <w:rFonts w:hint="eastAsia"/>
          <w:b/>
          <w:sz w:val="32"/>
          <w:szCs w:val="32"/>
        </w:rPr>
        <w:t>201</w:t>
      </w:r>
      <w:r w:rsidR="00AC67BD">
        <w:rPr>
          <w:rFonts w:hint="eastAsia"/>
          <w:b/>
          <w:sz w:val="32"/>
          <w:szCs w:val="32"/>
        </w:rPr>
        <w:t>9</w:t>
      </w:r>
      <w:r>
        <w:rPr>
          <w:rFonts w:hint="eastAsia"/>
          <w:b/>
          <w:sz w:val="32"/>
          <w:szCs w:val="32"/>
        </w:rPr>
        <w:t>年度</w:t>
      </w:r>
      <w:proofErr w:type="gramStart"/>
      <w:r>
        <w:rPr>
          <w:rFonts w:hint="eastAsia"/>
          <w:b/>
          <w:sz w:val="32"/>
          <w:szCs w:val="32"/>
        </w:rPr>
        <w:t>广东省碳排放权</w:t>
      </w:r>
      <w:proofErr w:type="gramEnd"/>
      <w:r>
        <w:rPr>
          <w:rFonts w:hint="eastAsia"/>
          <w:b/>
          <w:sz w:val="32"/>
          <w:szCs w:val="32"/>
        </w:rPr>
        <w:t>配额有偿发放操作指引</w:t>
      </w:r>
    </w:p>
    <w:p w:rsidR="00786D15" w:rsidRDefault="00132F5D">
      <w:pPr>
        <w:pStyle w:val="1"/>
        <w:numPr>
          <w:ilvl w:val="0"/>
          <w:numId w:val="1"/>
        </w:numPr>
        <w:ind w:firstLineChars="0"/>
        <w:rPr>
          <w:sz w:val="28"/>
          <w:szCs w:val="28"/>
        </w:rPr>
      </w:pPr>
      <w:r>
        <w:rPr>
          <w:rFonts w:hint="eastAsia"/>
          <w:sz w:val="28"/>
          <w:szCs w:val="28"/>
        </w:rPr>
        <w:t>竞价人打开</w:t>
      </w:r>
      <w:proofErr w:type="gramStart"/>
      <w:r>
        <w:rPr>
          <w:rFonts w:hint="eastAsia"/>
          <w:sz w:val="28"/>
          <w:szCs w:val="28"/>
        </w:rPr>
        <w:t>广东碳排放权</w:t>
      </w:r>
      <w:proofErr w:type="gramEnd"/>
      <w:r>
        <w:rPr>
          <w:rFonts w:hint="eastAsia"/>
          <w:sz w:val="28"/>
          <w:szCs w:val="28"/>
        </w:rPr>
        <w:t>交易系统网址</w:t>
      </w:r>
    </w:p>
    <w:p w:rsidR="00786D15" w:rsidRDefault="00132F5D">
      <w:pPr>
        <w:pStyle w:val="1"/>
        <w:ind w:left="360" w:firstLineChars="0" w:firstLine="0"/>
        <w:rPr>
          <w:sz w:val="28"/>
          <w:szCs w:val="28"/>
        </w:rPr>
      </w:pPr>
      <w:r>
        <w:rPr>
          <w:sz w:val="28"/>
          <w:szCs w:val="28"/>
        </w:rPr>
        <w:t>http://ets.cnemission.com/carbon/login</w:t>
      </w:r>
      <w:r>
        <w:rPr>
          <w:rFonts w:hint="eastAsia"/>
          <w:sz w:val="28"/>
          <w:szCs w:val="28"/>
        </w:rPr>
        <w:t>，输入用户名和密码登录系统；</w:t>
      </w:r>
    </w:p>
    <w:p w:rsidR="00786D15" w:rsidRDefault="00132F5D">
      <w:pPr>
        <w:pStyle w:val="1"/>
        <w:ind w:left="360" w:firstLineChars="0" w:firstLine="0"/>
      </w:pPr>
      <w:r>
        <w:rPr>
          <w:noProof/>
        </w:rPr>
        <w:drawing>
          <wp:inline distT="0" distB="0" distL="114300" distR="114300">
            <wp:extent cx="5274310" cy="33528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lum/>
                    </a:blip>
                    <a:stretch>
                      <a:fillRect/>
                    </a:stretch>
                  </pic:blipFill>
                  <pic:spPr>
                    <a:xfrm>
                      <a:off x="0" y="0"/>
                      <a:ext cx="5274310" cy="3352800"/>
                    </a:xfrm>
                    <a:prstGeom prst="rect">
                      <a:avLst/>
                    </a:prstGeom>
                    <a:noFill/>
                    <a:ln w="9525">
                      <a:noFill/>
                    </a:ln>
                  </pic:spPr>
                </pic:pic>
              </a:graphicData>
            </a:graphic>
          </wp:inline>
        </w:drawing>
      </w:r>
      <w:bookmarkStart w:id="0" w:name="_GoBack"/>
      <w:bookmarkEnd w:id="0"/>
    </w:p>
    <w:p w:rsidR="00786D15" w:rsidRDefault="00132F5D">
      <w:pPr>
        <w:pStyle w:val="1"/>
        <w:numPr>
          <w:ilvl w:val="0"/>
          <w:numId w:val="1"/>
        </w:numPr>
        <w:ind w:firstLineChars="0"/>
        <w:rPr>
          <w:sz w:val="28"/>
          <w:szCs w:val="28"/>
        </w:rPr>
      </w:pPr>
      <w:r>
        <w:rPr>
          <w:rFonts w:hint="eastAsia"/>
          <w:sz w:val="28"/>
          <w:szCs w:val="28"/>
        </w:rPr>
        <w:t>进入系统后选择菜单“交易模式”——“配额有偿竞价”，如下图：</w:t>
      </w:r>
    </w:p>
    <w:p w:rsidR="00786D15" w:rsidRDefault="00132F5D">
      <w:pPr>
        <w:pStyle w:val="1"/>
        <w:ind w:left="360" w:firstLineChars="0" w:firstLine="0"/>
      </w:pPr>
      <w:r>
        <w:rPr>
          <w:noProof/>
        </w:rPr>
        <w:drawing>
          <wp:inline distT="0" distB="0" distL="114300" distR="114300">
            <wp:extent cx="5274310" cy="241808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lum/>
                    </a:blip>
                    <a:stretch>
                      <a:fillRect/>
                    </a:stretch>
                  </pic:blipFill>
                  <pic:spPr>
                    <a:xfrm>
                      <a:off x="0" y="0"/>
                      <a:ext cx="5274310" cy="2418080"/>
                    </a:xfrm>
                    <a:prstGeom prst="rect">
                      <a:avLst/>
                    </a:prstGeom>
                    <a:noFill/>
                    <a:ln w="9525">
                      <a:noFill/>
                    </a:ln>
                  </pic:spPr>
                </pic:pic>
              </a:graphicData>
            </a:graphic>
          </wp:inline>
        </w:drawing>
      </w:r>
    </w:p>
    <w:p w:rsidR="00786D15" w:rsidRDefault="00132F5D">
      <w:pPr>
        <w:pStyle w:val="1"/>
        <w:numPr>
          <w:ilvl w:val="0"/>
          <w:numId w:val="1"/>
        </w:numPr>
        <w:ind w:firstLineChars="0"/>
        <w:rPr>
          <w:sz w:val="28"/>
          <w:szCs w:val="28"/>
        </w:rPr>
      </w:pPr>
      <w:r>
        <w:rPr>
          <w:rFonts w:hint="eastAsia"/>
          <w:sz w:val="28"/>
          <w:szCs w:val="28"/>
        </w:rPr>
        <w:t>点击进入配额有偿竞价页面，可以看到未参与的竞价列表，选择要参与竞价的记录，点击右边的“申请竞买”，进入竞价页面；</w:t>
      </w:r>
    </w:p>
    <w:p w:rsidR="00786D15" w:rsidRDefault="00132F5D">
      <w:pPr>
        <w:pStyle w:val="1"/>
        <w:ind w:left="360" w:firstLineChars="0" w:firstLine="0"/>
      </w:pPr>
      <w:r>
        <w:rPr>
          <w:noProof/>
        </w:rPr>
        <w:lastRenderedPageBreak/>
        <w:drawing>
          <wp:inline distT="0" distB="0" distL="114300" distR="114300">
            <wp:extent cx="5274310" cy="2439035"/>
            <wp:effectExtent l="0" t="0" r="254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lum/>
                    </a:blip>
                    <a:stretch>
                      <a:fillRect/>
                    </a:stretch>
                  </pic:blipFill>
                  <pic:spPr>
                    <a:xfrm>
                      <a:off x="0" y="0"/>
                      <a:ext cx="5274310" cy="2439035"/>
                    </a:xfrm>
                    <a:prstGeom prst="rect">
                      <a:avLst/>
                    </a:prstGeom>
                    <a:noFill/>
                    <a:ln w="9525">
                      <a:noFill/>
                    </a:ln>
                  </pic:spPr>
                </pic:pic>
              </a:graphicData>
            </a:graphic>
          </wp:inline>
        </w:drawing>
      </w:r>
      <w:r>
        <w:t xml:space="preserve"> </w:t>
      </w:r>
      <w:r>
        <w:rPr>
          <w:noProof/>
        </w:rPr>
        <w:drawing>
          <wp:inline distT="0" distB="0" distL="114300" distR="114300">
            <wp:extent cx="5274310" cy="2425700"/>
            <wp:effectExtent l="0" t="0" r="254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lum/>
                    </a:blip>
                    <a:stretch>
                      <a:fillRect/>
                    </a:stretch>
                  </pic:blipFill>
                  <pic:spPr>
                    <a:xfrm>
                      <a:off x="0" y="0"/>
                      <a:ext cx="5274310" cy="2425700"/>
                    </a:xfrm>
                    <a:prstGeom prst="rect">
                      <a:avLst/>
                    </a:prstGeom>
                    <a:noFill/>
                    <a:ln w="9525">
                      <a:noFill/>
                    </a:ln>
                  </pic:spPr>
                </pic:pic>
              </a:graphicData>
            </a:graphic>
          </wp:inline>
        </w:drawing>
      </w:r>
    </w:p>
    <w:p w:rsidR="00786D15" w:rsidRDefault="00132F5D">
      <w:pPr>
        <w:pStyle w:val="1"/>
        <w:ind w:left="360" w:firstLineChars="0" w:firstLine="0"/>
      </w:pPr>
      <w:r>
        <w:rPr>
          <w:noProof/>
        </w:rPr>
        <w:drawing>
          <wp:inline distT="0" distB="0" distL="114300" distR="114300">
            <wp:extent cx="5274310" cy="2346325"/>
            <wp:effectExtent l="0" t="0" r="254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lum/>
                    </a:blip>
                    <a:stretch>
                      <a:fillRect/>
                    </a:stretch>
                  </pic:blipFill>
                  <pic:spPr>
                    <a:xfrm>
                      <a:off x="0" y="0"/>
                      <a:ext cx="5274310" cy="2346325"/>
                    </a:xfrm>
                    <a:prstGeom prst="rect">
                      <a:avLst/>
                    </a:prstGeom>
                    <a:noFill/>
                    <a:ln w="9525">
                      <a:noFill/>
                    </a:ln>
                  </pic:spPr>
                </pic:pic>
              </a:graphicData>
            </a:graphic>
          </wp:inline>
        </w:drawing>
      </w:r>
    </w:p>
    <w:p w:rsidR="00786D15" w:rsidRDefault="00132F5D">
      <w:pPr>
        <w:pStyle w:val="1"/>
        <w:numPr>
          <w:ilvl w:val="0"/>
          <w:numId w:val="1"/>
        </w:numPr>
        <w:ind w:firstLineChars="0"/>
        <w:rPr>
          <w:sz w:val="28"/>
          <w:szCs w:val="28"/>
        </w:rPr>
      </w:pPr>
      <w:r>
        <w:rPr>
          <w:rFonts w:hint="eastAsia"/>
          <w:sz w:val="28"/>
          <w:szCs w:val="28"/>
        </w:rPr>
        <w:t>点击竞价记录右边的“新增报价”，输入当次竞买的量和单价；</w:t>
      </w:r>
    </w:p>
    <w:p w:rsidR="00786D15" w:rsidRDefault="00132F5D">
      <w:pPr>
        <w:pStyle w:val="1"/>
        <w:ind w:left="360" w:firstLineChars="0" w:firstLine="0"/>
      </w:pPr>
      <w:r>
        <w:rPr>
          <w:noProof/>
        </w:rPr>
        <w:lastRenderedPageBreak/>
        <w:drawing>
          <wp:inline distT="0" distB="0" distL="114300" distR="114300">
            <wp:extent cx="5274310" cy="2355215"/>
            <wp:effectExtent l="0" t="0" r="254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lum/>
                    </a:blip>
                    <a:stretch>
                      <a:fillRect/>
                    </a:stretch>
                  </pic:blipFill>
                  <pic:spPr>
                    <a:xfrm>
                      <a:off x="0" y="0"/>
                      <a:ext cx="5274310" cy="2355215"/>
                    </a:xfrm>
                    <a:prstGeom prst="rect">
                      <a:avLst/>
                    </a:prstGeom>
                    <a:noFill/>
                    <a:ln w="9525">
                      <a:noFill/>
                    </a:ln>
                  </pic:spPr>
                </pic:pic>
              </a:graphicData>
            </a:graphic>
          </wp:inline>
        </w:drawing>
      </w:r>
    </w:p>
    <w:p w:rsidR="00786D15" w:rsidRDefault="00132F5D">
      <w:pPr>
        <w:pStyle w:val="1"/>
        <w:ind w:left="360" w:firstLine="560"/>
        <w:rPr>
          <w:sz w:val="28"/>
          <w:szCs w:val="28"/>
        </w:rPr>
      </w:pPr>
      <w:r>
        <w:rPr>
          <w:rFonts w:hint="eastAsia"/>
          <w:sz w:val="28"/>
          <w:szCs w:val="28"/>
        </w:rPr>
        <w:t>可输入的竞价数量最小为</w:t>
      </w:r>
      <w:r>
        <w:rPr>
          <w:rFonts w:hint="eastAsia"/>
          <w:sz w:val="28"/>
          <w:szCs w:val="28"/>
        </w:rPr>
        <w:t>1</w:t>
      </w:r>
      <w:r w:rsidR="00BA0FAC">
        <w:rPr>
          <w:rFonts w:hint="eastAsia"/>
          <w:sz w:val="28"/>
          <w:szCs w:val="28"/>
        </w:rPr>
        <w:t>000</w:t>
      </w:r>
      <w:r>
        <w:rPr>
          <w:rFonts w:hint="eastAsia"/>
          <w:sz w:val="28"/>
          <w:szCs w:val="28"/>
        </w:rPr>
        <w:t>吨，最大（累计）购买量为当次发放总量的</w:t>
      </w:r>
      <w:r>
        <w:rPr>
          <w:rFonts w:hint="eastAsia"/>
          <w:sz w:val="28"/>
          <w:szCs w:val="28"/>
        </w:rPr>
        <w:t>50%</w:t>
      </w:r>
      <w:r>
        <w:rPr>
          <w:rFonts w:hint="eastAsia"/>
          <w:sz w:val="28"/>
          <w:szCs w:val="28"/>
        </w:rPr>
        <w:t>，竞买单价最小为</w:t>
      </w:r>
      <w:r>
        <w:rPr>
          <w:rFonts w:hint="eastAsia"/>
          <w:sz w:val="28"/>
          <w:szCs w:val="28"/>
        </w:rPr>
        <w:t>0.01</w:t>
      </w:r>
      <w:r>
        <w:rPr>
          <w:rFonts w:hint="eastAsia"/>
          <w:sz w:val="28"/>
          <w:szCs w:val="28"/>
        </w:rPr>
        <w:t>元。系统将提示该次竞价的保留价，</w:t>
      </w:r>
      <w:r>
        <w:rPr>
          <w:rFonts w:hint="eastAsia"/>
          <w:color w:val="FF0000"/>
          <w:sz w:val="28"/>
          <w:szCs w:val="28"/>
        </w:rPr>
        <w:t>低于保留价的报价将不能成交；</w:t>
      </w:r>
      <w:r>
        <w:rPr>
          <w:rFonts w:hint="eastAsia"/>
          <w:sz w:val="28"/>
          <w:szCs w:val="28"/>
        </w:rPr>
        <w:t xml:space="preserve"> </w:t>
      </w:r>
    </w:p>
    <w:p w:rsidR="00786D15" w:rsidRDefault="00132F5D">
      <w:pPr>
        <w:pStyle w:val="1"/>
        <w:numPr>
          <w:ilvl w:val="0"/>
          <w:numId w:val="1"/>
        </w:numPr>
        <w:ind w:firstLineChars="0"/>
        <w:rPr>
          <w:sz w:val="28"/>
          <w:szCs w:val="28"/>
        </w:rPr>
      </w:pPr>
      <w:r>
        <w:rPr>
          <w:rFonts w:hint="eastAsia"/>
          <w:sz w:val="28"/>
          <w:szCs w:val="28"/>
        </w:rPr>
        <w:t>填写无误后，点击确认按钮提交报价，提交报价时将冻结报价金额的</w:t>
      </w:r>
      <w:r>
        <w:rPr>
          <w:rFonts w:hint="eastAsia"/>
          <w:sz w:val="28"/>
          <w:szCs w:val="28"/>
        </w:rPr>
        <w:t>5%</w:t>
      </w:r>
      <w:r>
        <w:rPr>
          <w:rFonts w:hint="eastAsia"/>
          <w:sz w:val="28"/>
          <w:szCs w:val="28"/>
        </w:rPr>
        <w:t>作为保证金，</w:t>
      </w:r>
      <w:proofErr w:type="gramStart"/>
      <w:r>
        <w:rPr>
          <w:rFonts w:hint="eastAsia"/>
          <w:sz w:val="28"/>
          <w:szCs w:val="28"/>
        </w:rPr>
        <w:t>请确保</w:t>
      </w:r>
      <w:proofErr w:type="gramEnd"/>
      <w:r>
        <w:rPr>
          <w:rFonts w:hint="eastAsia"/>
          <w:sz w:val="28"/>
          <w:szCs w:val="28"/>
        </w:rPr>
        <w:t>资金账户余额充足；</w:t>
      </w:r>
      <w:r>
        <w:rPr>
          <w:rFonts w:hint="eastAsia"/>
          <w:color w:val="FF0000"/>
          <w:sz w:val="28"/>
          <w:szCs w:val="28"/>
        </w:rPr>
        <w:t>报价提交后不能撤销，</w:t>
      </w:r>
      <w:r>
        <w:rPr>
          <w:rFonts w:hint="eastAsia"/>
          <w:sz w:val="28"/>
          <w:szCs w:val="28"/>
        </w:rPr>
        <w:t>竞价人可在页面下方“配额竞买报价明细记录”中查看报价明细，如下图：</w:t>
      </w:r>
    </w:p>
    <w:p w:rsidR="00786D15" w:rsidRDefault="00132F5D">
      <w:pPr>
        <w:pStyle w:val="1"/>
        <w:ind w:left="360" w:firstLineChars="0" w:firstLine="0"/>
        <w:rPr>
          <w:sz w:val="28"/>
          <w:szCs w:val="28"/>
        </w:rPr>
      </w:pPr>
      <w:r>
        <w:rPr>
          <w:noProof/>
        </w:rPr>
        <w:drawing>
          <wp:inline distT="0" distB="0" distL="114300" distR="114300">
            <wp:extent cx="5274310" cy="2437765"/>
            <wp:effectExtent l="0" t="0" r="2540" b="63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4" cstate="print">
                      <a:lum/>
                    </a:blip>
                    <a:stretch>
                      <a:fillRect/>
                    </a:stretch>
                  </pic:blipFill>
                  <pic:spPr>
                    <a:xfrm>
                      <a:off x="0" y="0"/>
                      <a:ext cx="5274310" cy="2437765"/>
                    </a:xfrm>
                    <a:prstGeom prst="rect">
                      <a:avLst/>
                    </a:prstGeom>
                    <a:noFill/>
                    <a:ln w="9525">
                      <a:noFill/>
                    </a:ln>
                  </pic:spPr>
                </pic:pic>
              </a:graphicData>
            </a:graphic>
          </wp:inline>
        </w:drawing>
      </w:r>
    </w:p>
    <w:p w:rsidR="00786D15" w:rsidRDefault="00132F5D">
      <w:pPr>
        <w:pStyle w:val="1"/>
        <w:numPr>
          <w:ilvl w:val="0"/>
          <w:numId w:val="1"/>
        </w:numPr>
        <w:ind w:firstLineChars="0"/>
        <w:rPr>
          <w:sz w:val="28"/>
          <w:szCs w:val="28"/>
        </w:rPr>
      </w:pPr>
      <w:r>
        <w:rPr>
          <w:rFonts w:hint="eastAsia"/>
          <w:sz w:val="28"/>
          <w:szCs w:val="28"/>
        </w:rPr>
        <w:t>竞价结束后，成交记录将在“配额竞买报价明细记录”状态中显示为“成交待付款”或“未成交”；</w:t>
      </w:r>
    </w:p>
    <w:p w:rsidR="00786D15" w:rsidRDefault="00132F5D">
      <w:pPr>
        <w:pStyle w:val="1"/>
        <w:ind w:left="360" w:firstLineChars="0" w:firstLine="0"/>
        <w:rPr>
          <w:sz w:val="28"/>
          <w:szCs w:val="28"/>
        </w:rPr>
      </w:pPr>
      <w:r>
        <w:rPr>
          <w:noProof/>
        </w:rPr>
        <w:lastRenderedPageBreak/>
        <w:drawing>
          <wp:inline distT="0" distB="0" distL="114300" distR="114300">
            <wp:extent cx="5274310" cy="2335530"/>
            <wp:effectExtent l="0" t="0" r="2540" b="762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5" cstate="print">
                      <a:lum/>
                    </a:blip>
                    <a:stretch>
                      <a:fillRect/>
                    </a:stretch>
                  </pic:blipFill>
                  <pic:spPr>
                    <a:xfrm>
                      <a:off x="0" y="0"/>
                      <a:ext cx="5274310" cy="2335530"/>
                    </a:xfrm>
                    <a:prstGeom prst="rect">
                      <a:avLst/>
                    </a:prstGeom>
                    <a:noFill/>
                    <a:ln w="9525">
                      <a:noFill/>
                    </a:ln>
                  </pic:spPr>
                </pic:pic>
              </a:graphicData>
            </a:graphic>
          </wp:inline>
        </w:drawing>
      </w:r>
    </w:p>
    <w:p w:rsidR="00786D15" w:rsidRDefault="00132F5D">
      <w:pPr>
        <w:pStyle w:val="1"/>
        <w:ind w:left="360" w:firstLine="560"/>
        <w:rPr>
          <w:sz w:val="28"/>
          <w:szCs w:val="28"/>
        </w:rPr>
      </w:pPr>
      <w:r>
        <w:rPr>
          <w:rFonts w:hint="eastAsia"/>
          <w:sz w:val="28"/>
          <w:szCs w:val="28"/>
        </w:rPr>
        <w:t>竞价人在“配额竞买成交明细记录”中查看具体信息，点击右边“打印缴款通知书”，可打印缴款通知书，持该通知书到指定银行缴纳竞价金额，完成缴款后系统将在当天闭市后自动将购买的配额数量转移到竞价人的交易账户中。</w:t>
      </w:r>
    </w:p>
    <w:p w:rsidR="00786D15" w:rsidRDefault="00132F5D">
      <w:pPr>
        <w:ind w:firstLineChars="150" w:firstLine="315"/>
      </w:pPr>
      <w:r>
        <w:rPr>
          <w:noProof/>
        </w:rPr>
        <w:drawing>
          <wp:inline distT="0" distB="0" distL="114300" distR="114300">
            <wp:extent cx="5274310" cy="2308860"/>
            <wp:effectExtent l="0" t="0" r="2540" b="1524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6" cstate="print">
                      <a:lum/>
                    </a:blip>
                    <a:stretch>
                      <a:fillRect/>
                    </a:stretch>
                  </pic:blipFill>
                  <pic:spPr>
                    <a:xfrm>
                      <a:off x="0" y="0"/>
                      <a:ext cx="5274310" cy="2308860"/>
                    </a:xfrm>
                    <a:prstGeom prst="rect">
                      <a:avLst/>
                    </a:prstGeom>
                    <a:noFill/>
                    <a:ln w="9525">
                      <a:noFill/>
                    </a:ln>
                  </pic:spPr>
                </pic:pic>
              </a:graphicData>
            </a:graphic>
          </wp:inline>
        </w:drawing>
      </w:r>
    </w:p>
    <w:p w:rsidR="00786D15" w:rsidRDefault="00132F5D">
      <w:pPr>
        <w:ind w:firstLineChars="101" w:firstLine="284"/>
        <w:rPr>
          <w:b/>
          <w:sz w:val="28"/>
          <w:szCs w:val="28"/>
        </w:rPr>
      </w:pPr>
      <w:r>
        <w:rPr>
          <w:rFonts w:hint="eastAsia"/>
          <w:b/>
          <w:sz w:val="28"/>
          <w:szCs w:val="28"/>
        </w:rPr>
        <w:t>附：用户</w:t>
      </w:r>
      <w:proofErr w:type="gramStart"/>
      <w:r>
        <w:rPr>
          <w:rFonts w:hint="eastAsia"/>
          <w:b/>
          <w:sz w:val="28"/>
          <w:szCs w:val="28"/>
        </w:rPr>
        <w:t>出入金</w:t>
      </w:r>
      <w:proofErr w:type="gramEnd"/>
      <w:r>
        <w:rPr>
          <w:rFonts w:hint="eastAsia"/>
          <w:b/>
          <w:sz w:val="28"/>
          <w:szCs w:val="28"/>
        </w:rPr>
        <w:t>方法</w:t>
      </w:r>
    </w:p>
    <w:p w:rsidR="00786D15" w:rsidRDefault="00132F5D">
      <w:pPr>
        <w:pStyle w:val="1"/>
        <w:numPr>
          <w:ilvl w:val="0"/>
          <w:numId w:val="2"/>
        </w:numPr>
        <w:ind w:firstLineChars="0"/>
        <w:rPr>
          <w:sz w:val="28"/>
          <w:szCs w:val="28"/>
        </w:rPr>
      </w:pPr>
      <w:r>
        <w:rPr>
          <w:rFonts w:hint="eastAsia"/>
          <w:sz w:val="28"/>
          <w:szCs w:val="28"/>
        </w:rPr>
        <w:t>在登录系统后，选择菜单“账号管理信息”——“我的产品资金”，可以看到下面的页面：</w:t>
      </w:r>
    </w:p>
    <w:p w:rsidR="00786D15" w:rsidRDefault="00132F5D">
      <w:pPr>
        <w:ind w:left="283"/>
        <w:rPr>
          <w:sz w:val="28"/>
          <w:szCs w:val="28"/>
        </w:rPr>
      </w:pPr>
      <w:r>
        <w:rPr>
          <w:noProof/>
        </w:rPr>
        <w:lastRenderedPageBreak/>
        <w:drawing>
          <wp:inline distT="0" distB="0" distL="114300" distR="114300">
            <wp:extent cx="5274310" cy="2415540"/>
            <wp:effectExtent l="0" t="0" r="2540" b="3810"/>
            <wp:docPr id="10" name="图片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11"/>
                    <pic:cNvPicPr>
                      <a:picLocks noChangeAspect="1"/>
                    </pic:cNvPicPr>
                  </pic:nvPicPr>
                  <pic:blipFill>
                    <a:blip r:embed="rId17" cstate="print">
                      <a:lum/>
                    </a:blip>
                    <a:stretch>
                      <a:fillRect/>
                    </a:stretch>
                  </pic:blipFill>
                  <pic:spPr>
                    <a:xfrm>
                      <a:off x="0" y="0"/>
                      <a:ext cx="5274310" cy="2415540"/>
                    </a:xfrm>
                    <a:prstGeom prst="rect">
                      <a:avLst/>
                    </a:prstGeom>
                    <a:noFill/>
                    <a:ln w="9525">
                      <a:noFill/>
                    </a:ln>
                  </pic:spPr>
                </pic:pic>
              </a:graphicData>
            </a:graphic>
          </wp:inline>
        </w:drawing>
      </w:r>
    </w:p>
    <w:p w:rsidR="00786D15" w:rsidRDefault="00132F5D">
      <w:pPr>
        <w:pStyle w:val="1"/>
        <w:numPr>
          <w:ilvl w:val="0"/>
          <w:numId w:val="2"/>
        </w:numPr>
        <w:ind w:firstLineChars="0"/>
        <w:rPr>
          <w:sz w:val="28"/>
          <w:szCs w:val="28"/>
        </w:rPr>
      </w:pPr>
      <w:r>
        <w:rPr>
          <w:rFonts w:hint="eastAsia"/>
          <w:sz w:val="28"/>
          <w:szCs w:val="28"/>
        </w:rPr>
        <w:t>在我的资金列表中，可以看到账户绑定的银行信息，然后点击右边的转入、转出按钮可以进行资金账户与银行账户的资金划转，完成用户</w:t>
      </w:r>
      <w:proofErr w:type="gramStart"/>
      <w:r>
        <w:rPr>
          <w:rFonts w:hint="eastAsia"/>
          <w:sz w:val="28"/>
          <w:szCs w:val="28"/>
        </w:rPr>
        <w:t>出入金</w:t>
      </w:r>
      <w:proofErr w:type="gramEnd"/>
      <w:r>
        <w:rPr>
          <w:rFonts w:hint="eastAsia"/>
          <w:sz w:val="28"/>
          <w:szCs w:val="28"/>
        </w:rPr>
        <w:t>操作；</w:t>
      </w:r>
    </w:p>
    <w:p w:rsidR="00786D15" w:rsidRDefault="00132F5D">
      <w:pPr>
        <w:ind w:left="283"/>
        <w:rPr>
          <w:sz w:val="28"/>
          <w:szCs w:val="28"/>
        </w:rPr>
      </w:pPr>
      <w:r>
        <w:rPr>
          <w:noProof/>
        </w:rPr>
        <w:drawing>
          <wp:inline distT="0" distB="0" distL="114300" distR="114300">
            <wp:extent cx="5079365" cy="2338070"/>
            <wp:effectExtent l="0" t="0" r="6985" b="5080"/>
            <wp:docPr id="11" name="图片 1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2"/>
                    <pic:cNvPicPr>
                      <a:picLocks noChangeAspect="1"/>
                    </pic:cNvPicPr>
                  </pic:nvPicPr>
                  <pic:blipFill>
                    <a:blip r:embed="rId18" cstate="print">
                      <a:lum/>
                    </a:blip>
                    <a:stretch>
                      <a:fillRect/>
                    </a:stretch>
                  </pic:blipFill>
                  <pic:spPr>
                    <a:xfrm>
                      <a:off x="0" y="0"/>
                      <a:ext cx="5079365" cy="2338070"/>
                    </a:xfrm>
                    <a:prstGeom prst="rect">
                      <a:avLst/>
                    </a:prstGeom>
                    <a:noFill/>
                    <a:ln w="9525">
                      <a:noFill/>
                    </a:ln>
                  </pic:spPr>
                </pic:pic>
              </a:graphicData>
            </a:graphic>
          </wp:inline>
        </w:drawing>
      </w:r>
    </w:p>
    <w:p w:rsidR="00786D15" w:rsidRDefault="00786D15">
      <w:pPr>
        <w:ind w:firstLineChars="150" w:firstLine="315"/>
      </w:pPr>
    </w:p>
    <w:sectPr w:rsidR="00786D15" w:rsidSect="00786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309" w:rsidRDefault="002F6309" w:rsidP="00AC67BD">
      <w:r>
        <w:separator/>
      </w:r>
    </w:p>
  </w:endnote>
  <w:endnote w:type="continuationSeparator" w:id="0">
    <w:p w:rsidR="002F6309" w:rsidRDefault="002F6309" w:rsidP="00AC6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309" w:rsidRDefault="002F6309" w:rsidP="00AC67BD">
      <w:r>
        <w:separator/>
      </w:r>
    </w:p>
  </w:footnote>
  <w:footnote w:type="continuationSeparator" w:id="0">
    <w:p w:rsidR="002F6309" w:rsidRDefault="002F6309" w:rsidP="00AC6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034E"/>
    <w:multiLevelType w:val="multilevel"/>
    <w:tmpl w:val="2444034E"/>
    <w:lvl w:ilvl="0">
      <w:start w:val="1"/>
      <w:numFmt w:val="decimal"/>
      <w:lvlText w:val="%1."/>
      <w:lvlJc w:val="left"/>
      <w:pPr>
        <w:ind w:left="793" w:hanging="51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
    <w:nsid w:val="4E6C386A"/>
    <w:multiLevelType w:val="multilevel"/>
    <w:tmpl w:val="4E6C38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77F"/>
    <w:rsid w:val="000A592E"/>
    <w:rsid w:val="00132F5D"/>
    <w:rsid w:val="001E2524"/>
    <w:rsid w:val="001E7A05"/>
    <w:rsid w:val="00251EBB"/>
    <w:rsid w:val="002F6309"/>
    <w:rsid w:val="003617E9"/>
    <w:rsid w:val="003D2B1E"/>
    <w:rsid w:val="00486B32"/>
    <w:rsid w:val="004A2D82"/>
    <w:rsid w:val="004C03E1"/>
    <w:rsid w:val="004E7E31"/>
    <w:rsid w:val="00560A46"/>
    <w:rsid w:val="005929DC"/>
    <w:rsid w:val="005C05F4"/>
    <w:rsid w:val="006419E7"/>
    <w:rsid w:val="00654BC3"/>
    <w:rsid w:val="006D0754"/>
    <w:rsid w:val="007804F7"/>
    <w:rsid w:val="00786D15"/>
    <w:rsid w:val="007B4267"/>
    <w:rsid w:val="008602F7"/>
    <w:rsid w:val="0096109A"/>
    <w:rsid w:val="00982176"/>
    <w:rsid w:val="009E7FA8"/>
    <w:rsid w:val="00A47EAC"/>
    <w:rsid w:val="00A87548"/>
    <w:rsid w:val="00AC67BD"/>
    <w:rsid w:val="00AF0540"/>
    <w:rsid w:val="00BA0FAC"/>
    <w:rsid w:val="00BA27DA"/>
    <w:rsid w:val="00BC1011"/>
    <w:rsid w:val="00C53947"/>
    <w:rsid w:val="00C95CCD"/>
    <w:rsid w:val="00CF4598"/>
    <w:rsid w:val="00D01BE5"/>
    <w:rsid w:val="00D1477F"/>
    <w:rsid w:val="00E65DC2"/>
    <w:rsid w:val="00EE64B1"/>
    <w:rsid w:val="00F32EF2"/>
    <w:rsid w:val="00FD4E77"/>
    <w:rsid w:val="04FA52B7"/>
    <w:rsid w:val="1D2C52BE"/>
    <w:rsid w:val="2BBC6951"/>
    <w:rsid w:val="31D606A5"/>
    <w:rsid w:val="39353FB2"/>
    <w:rsid w:val="4F4C7286"/>
    <w:rsid w:val="527C37E2"/>
    <w:rsid w:val="5E885FA6"/>
    <w:rsid w:val="5F866CC6"/>
    <w:rsid w:val="683C6368"/>
    <w:rsid w:val="69760313"/>
    <w:rsid w:val="6F2262E0"/>
    <w:rsid w:val="791064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1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86D15"/>
    <w:rPr>
      <w:sz w:val="18"/>
      <w:szCs w:val="18"/>
    </w:rPr>
  </w:style>
  <w:style w:type="paragraph" w:styleId="a4">
    <w:name w:val="footer"/>
    <w:basedOn w:val="a"/>
    <w:link w:val="Char0"/>
    <w:uiPriority w:val="99"/>
    <w:unhideWhenUsed/>
    <w:qFormat/>
    <w:rsid w:val="00786D1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86D1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786D15"/>
    <w:pPr>
      <w:ind w:firstLineChars="200" w:firstLine="420"/>
    </w:pPr>
  </w:style>
  <w:style w:type="character" w:customStyle="1" w:styleId="Char1">
    <w:name w:val="页眉 Char"/>
    <w:basedOn w:val="a0"/>
    <w:link w:val="a5"/>
    <w:uiPriority w:val="99"/>
    <w:rsid w:val="00786D15"/>
    <w:rPr>
      <w:sz w:val="18"/>
      <w:szCs w:val="18"/>
    </w:rPr>
  </w:style>
  <w:style w:type="character" w:customStyle="1" w:styleId="Char0">
    <w:name w:val="页脚 Char"/>
    <w:basedOn w:val="a0"/>
    <w:link w:val="a4"/>
    <w:uiPriority w:val="99"/>
    <w:qFormat/>
    <w:rsid w:val="00786D15"/>
    <w:rPr>
      <w:sz w:val="18"/>
      <w:szCs w:val="18"/>
    </w:rPr>
  </w:style>
  <w:style w:type="character" w:customStyle="1" w:styleId="Char">
    <w:name w:val="批注框文本 Char"/>
    <w:basedOn w:val="a0"/>
    <w:link w:val="a3"/>
    <w:uiPriority w:val="99"/>
    <w:semiHidden/>
    <w:qFormat/>
    <w:rsid w:val="00786D1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广东一级市场配额竞价拍卖操作指引</dc:title>
  <dc:creator>Carbon1</dc:creator>
  <cp:lastModifiedBy>方龙</cp:lastModifiedBy>
  <cp:revision>2</cp:revision>
  <cp:lastPrinted>2020-01-20T02:28:00Z</cp:lastPrinted>
  <dcterms:created xsi:type="dcterms:W3CDTF">2015-09-02T01:52:00Z</dcterms:created>
  <dcterms:modified xsi:type="dcterms:W3CDTF">2020-04-07T02:17:00Z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